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color w:val="auto"/>
          <w:sz w:val="36"/>
          <w:szCs w:val="36"/>
        </w:rPr>
      </w:pPr>
      <w:r>
        <w:rPr>
          <w:rFonts w:hint="eastAsia" w:ascii="宋体" w:hAnsi="宋体"/>
          <w:b/>
          <w:color w:val="auto"/>
          <w:sz w:val="36"/>
          <w:szCs w:val="36"/>
        </w:rPr>
        <w:t>贵州新闻奖参评作品推荐表</w:t>
      </w:r>
    </w:p>
    <w:tbl>
      <w:tblPr>
        <w:tblStyle w:val="4"/>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733"/>
        <w:gridCol w:w="343"/>
        <w:gridCol w:w="2382"/>
        <w:gridCol w:w="1460"/>
        <w:gridCol w:w="893"/>
        <w:gridCol w:w="567"/>
        <w:gridCol w:w="2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jc w:val="center"/>
        </w:trPr>
        <w:tc>
          <w:tcPr>
            <w:tcW w:w="1551" w:type="dxa"/>
            <w:gridSpan w:val="2"/>
            <w:vMerge w:val="restart"/>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作品标题</w:t>
            </w:r>
          </w:p>
        </w:tc>
        <w:tc>
          <w:tcPr>
            <w:tcW w:w="4185" w:type="dxa"/>
            <w:gridSpan w:val="3"/>
            <w:vMerge w:val="restart"/>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宋体" w:hAnsi="宋体" w:eastAsia="宋体" w:cs="宋体"/>
                <w:color w:val="auto"/>
                <w:kern w:val="2"/>
                <w:sz w:val="24"/>
                <w:szCs w:val="24"/>
                <w:lang w:val="en-US" w:eastAsia="zh-CN" w:bidi="zh-CN"/>
              </w:rPr>
              <w:t>两苗寨共谱和谐曲 三百年旧怨一日消</w:t>
            </w:r>
          </w:p>
        </w:tc>
        <w:tc>
          <w:tcPr>
            <w:tcW w:w="1460" w:type="dxa"/>
            <w:gridSpan w:val="2"/>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参评项目</w:t>
            </w:r>
          </w:p>
        </w:tc>
        <w:tc>
          <w:tcPr>
            <w:tcW w:w="2365" w:type="dxa"/>
            <w:tcBorders>
              <w:top w:val="single" w:color="auto" w:sz="4" w:space="0"/>
              <w:left w:val="single" w:color="auto" w:sz="4" w:space="0"/>
              <w:right w:val="single" w:color="auto" w:sz="4" w:space="0"/>
            </w:tcBorders>
            <w:noWrap w:val="0"/>
            <w:vAlign w:val="center"/>
          </w:tcPr>
          <w:p>
            <w:pPr>
              <w:jc w:val="center"/>
              <w:rPr>
                <w:rFonts w:hint="eastAsia" w:ascii="仿宋_GB2312" w:eastAsia="仿宋_GB2312"/>
                <w:color w:val="auto"/>
                <w:sz w:val="28"/>
                <w:lang w:eastAsia="zh-CN"/>
              </w:rPr>
            </w:pPr>
            <w:r>
              <w:rPr>
                <w:rFonts w:hint="eastAsia" w:ascii="宋体" w:hAnsi="宋体" w:eastAsia="宋体" w:cs="宋体"/>
                <w:color w:val="auto"/>
                <w:kern w:val="2"/>
                <w:sz w:val="24"/>
                <w:szCs w:val="24"/>
                <w:lang w:val="en-US" w:eastAsia="zh-CN" w:bidi="zh-CN"/>
              </w:rPr>
              <w:t>（基础类）消息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exact"/>
          <w:jc w:val="center"/>
        </w:trPr>
        <w:tc>
          <w:tcPr>
            <w:tcW w:w="1551" w:type="dxa"/>
            <w:gridSpan w:val="2"/>
            <w:vMerge w:val="continue"/>
            <w:noWrap w:val="0"/>
            <w:vAlign w:val="center"/>
          </w:tcPr>
          <w:p>
            <w:pPr>
              <w:spacing w:line="380" w:lineRule="exact"/>
              <w:jc w:val="center"/>
              <w:rPr>
                <w:rFonts w:hint="eastAsia" w:ascii="华文中宋" w:hAnsi="华文中宋" w:eastAsia="华文中宋"/>
                <w:color w:val="auto"/>
                <w:sz w:val="28"/>
              </w:rPr>
            </w:pPr>
          </w:p>
        </w:tc>
        <w:tc>
          <w:tcPr>
            <w:tcW w:w="4185" w:type="dxa"/>
            <w:gridSpan w:val="3"/>
            <w:vMerge w:val="continue"/>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p>
        </w:tc>
        <w:tc>
          <w:tcPr>
            <w:tcW w:w="893" w:type="dxa"/>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体裁</w:t>
            </w:r>
          </w:p>
        </w:tc>
        <w:tc>
          <w:tcPr>
            <w:tcW w:w="2932" w:type="dxa"/>
            <w:gridSpan w:val="2"/>
            <w:tcBorders>
              <w:top w:val="single" w:color="auto" w:sz="4" w:space="0"/>
              <w:left w:val="single" w:color="auto" w:sz="4" w:space="0"/>
              <w:right w:val="single" w:color="auto" w:sz="4" w:space="0"/>
            </w:tcBorders>
            <w:noWrap w:val="0"/>
            <w:vAlign w:val="center"/>
          </w:tcPr>
          <w:p>
            <w:pPr>
              <w:spacing w:line="380" w:lineRule="exact"/>
              <w:jc w:val="center"/>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exact"/>
          <w:jc w:val="center"/>
        </w:trPr>
        <w:tc>
          <w:tcPr>
            <w:tcW w:w="1551" w:type="dxa"/>
            <w:gridSpan w:val="2"/>
            <w:vMerge w:val="continue"/>
            <w:noWrap w:val="0"/>
            <w:vAlign w:val="center"/>
          </w:tcPr>
          <w:p>
            <w:pPr>
              <w:spacing w:line="380" w:lineRule="exact"/>
              <w:jc w:val="center"/>
              <w:rPr>
                <w:rFonts w:hint="eastAsia" w:ascii="华文中宋" w:hAnsi="华文中宋" w:eastAsia="华文中宋"/>
                <w:color w:val="auto"/>
                <w:sz w:val="28"/>
              </w:rPr>
            </w:pPr>
          </w:p>
        </w:tc>
        <w:tc>
          <w:tcPr>
            <w:tcW w:w="4185" w:type="dxa"/>
            <w:gridSpan w:val="3"/>
            <w:vMerge w:val="continue"/>
            <w:tcBorders>
              <w:left w:val="single" w:color="auto" w:sz="4" w:space="0"/>
              <w:bottom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p>
        </w:tc>
        <w:tc>
          <w:tcPr>
            <w:tcW w:w="893" w:type="dxa"/>
            <w:tcBorders>
              <w:left w:val="single" w:color="auto" w:sz="4" w:space="0"/>
              <w:bottom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语种</w:t>
            </w:r>
          </w:p>
        </w:tc>
        <w:tc>
          <w:tcPr>
            <w:tcW w:w="2932" w:type="dxa"/>
            <w:gridSpan w:val="2"/>
            <w:tcBorders>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1551" w:type="dxa"/>
            <w:gridSpan w:val="2"/>
            <w:noWrap w:val="0"/>
            <w:vAlign w:val="center"/>
          </w:tcPr>
          <w:p>
            <w:pPr>
              <w:spacing w:line="320" w:lineRule="exact"/>
              <w:jc w:val="center"/>
              <w:rPr>
                <w:rFonts w:hint="eastAsia" w:ascii="华文中宋" w:hAnsi="华文中宋" w:eastAsia="华文中宋"/>
                <w:color w:val="auto"/>
                <w:spacing w:val="-12"/>
                <w:sz w:val="28"/>
              </w:rPr>
            </w:pPr>
            <w:r>
              <w:rPr>
                <w:rFonts w:hint="eastAsia" w:ascii="华文中宋" w:hAnsi="华文中宋" w:eastAsia="华文中宋"/>
                <w:color w:val="auto"/>
                <w:spacing w:val="-12"/>
                <w:sz w:val="28"/>
              </w:rPr>
              <w:t>作  者</w:t>
            </w:r>
          </w:p>
          <w:p>
            <w:pPr>
              <w:spacing w:line="320" w:lineRule="exact"/>
              <w:jc w:val="center"/>
              <w:rPr>
                <w:rFonts w:hint="eastAsia" w:ascii="华文中宋" w:hAnsi="华文中宋" w:eastAsia="华文中宋"/>
                <w:color w:val="auto"/>
                <w:spacing w:val="-12"/>
                <w:sz w:val="24"/>
              </w:rPr>
            </w:pPr>
            <w:r>
              <w:rPr>
                <w:rFonts w:hint="eastAsia" w:ascii="华文中宋" w:hAnsi="华文中宋" w:eastAsia="华文中宋"/>
                <w:color w:val="auto"/>
                <w:spacing w:val="-12"/>
                <w:sz w:val="24"/>
              </w:rPr>
              <w:t>（主创人员）</w:t>
            </w:r>
          </w:p>
        </w:tc>
        <w:tc>
          <w:tcPr>
            <w:tcW w:w="2725" w:type="dxa"/>
            <w:gridSpan w:val="2"/>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 xml:space="preserve">姚宁 顾慧明 </w:t>
            </w:r>
            <w:r>
              <w:rPr>
                <w:rFonts w:hint="eastAsia" w:ascii="宋体" w:hAnsi="宋体" w:cs="宋体"/>
                <w:color w:val="auto"/>
                <w:kern w:val="2"/>
                <w:sz w:val="24"/>
                <w:szCs w:val="24"/>
                <w:lang w:val="en-US" w:eastAsia="zh-CN" w:bidi="zh-CN"/>
              </w:rPr>
              <w:t>王绍帅</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华文中宋" w:hAnsi="华文中宋" w:eastAsia="华文中宋"/>
                <w:color w:val="auto"/>
                <w:sz w:val="28"/>
              </w:rPr>
            </w:pPr>
            <w:r>
              <w:rPr>
                <w:rFonts w:hint="eastAsia" w:ascii="华文中宋" w:hAnsi="华文中宋" w:eastAsia="华文中宋"/>
                <w:color w:val="auto"/>
                <w:sz w:val="28"/>
              </w:rPr>
              <w:t>编辑</w:t>
            </w:r>
          </w:p>
        </w:tc>
        <w:tc>
          <w:tcPr>
            <w:tcW w:w="3825" w:type="dxa"/>
            <w:gridSpan w:val="3"/>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default"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李田清 王珺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exact"/>
          <w:jc w:val="center"/>
        </w:trPr>
        <w:tc>
          <w:tcPr>
            <w:tcW w:w="1551" w:type="dxa"/>
            <w:gridSpan w:val="2"/>
            <w:noWrap w:val="0"/>
            <w:vAlign w:val="center"/>
          </w:tcPr>
          <w:p>
            <w:pPr>
              <w:jc w:val="center"/>
              <w:rPr>
                <w:rFonts w:hint="eastAsia" w:ascii="华文中宋" w:hAnsi="华文中宋" w:eastAsia="华文中宋"/>
                <w:color w:val="auto"/>
                <w:sz w:val="28"/>
              </w:rPr>
            </w:pPr>
            <w:r>
              <w:rPr>
                <w:rFonts w:hint="eastAsia" w:ascii="华文中宋" w:hAnsi="华文中宋" w:eastAsia="华文中宋"/>
                <w:color w:val="auto"/>
                <w:sz w:val="28"/>
                <w:lang w:val="en-US" w:eastAsia="zh-CN"/>
              </w:rPr>
              <w:t>原创</w:t>
            </w:r>
            <w:r>
              <w:rPr>
                <w:rFonts w:hint="eastAsia" w:ascii="华文中宋" w:hAnsi="华文中宋" w:eastAsia="华文中宋"/>
                <w:color w:val="auto"/>
                <w:sz w:val="28"/>
              </w:rPr>
              <w:t>单位</w:t>
            </w:r>
          </w:p>
        </w:tc>
        <w:tc>
          <w:tcPr>
            <w:tcW w:w="272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黔东南州融媒体中心</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华文中宋" w:hAnsi="华文中宋" w:eastAsia="华文中宋"/>
                <w:color w:val="auto"/>
                <w:sz w:val="28"/>
                <w:lang w:val="en-US" w:eastAsia="zh-CN"/>
              </w:rPr>
            </w:pPr>
            <w:r>
              <w:rPr>
                <w:rFonts w:hint="eastAsia" w:ascii="华文中宋" w:hAnsi="华文中宋" w:eastAsia="华文中宋"/>
                <w:color w:val="auto"/>
                <w:sz w:val="28"/>
                <w:lang w:val="en-US" w:eastAsia="zh-CN"/>
              </w:rPr>
              <w:t>刊播单位</w:t>
            </w:r>
          </w:p>
        </w:tc>
        <w:tc>
          <w:tcPr>
            <w:tcW w:w="3825" w:type="dxa"/>
            <w:gridSpan w:val="3"/>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黔东南日报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exact"/>
          <w:jc w:val="center"/>
        </w:trPr>
        <w:tc>
          <w:tcPr>
            <w:tcW w:w="1551" w:type="dxa"/>
            <w:gridSpan w:val="2"/>
            <w:noWrap w:val="0"/>
            <w:vAlign w:val="center"/>
          </w:tcPr>
          <w:p>
            <w:pPr>
              <w:spacing w:line="340" w:lineRule="exact"/>
              <w:jc w:val="center"/>
              <w:rPr>
                <w:rFonts w:hint="eastAsia" w:ascii="华文中宋" w:hAnsi="华文中宋" w:eastAsia="华文中宋"/>
                <w:color w:val="auto"/>
                <w:sz w:val="24"/>
              </w:rPr>
            </w:pPr>
            <w:r>
              <w:rPr>
                <w:rFonts w:hint="eastAsia" w:ascii="华文中宋" w:hAnsi="华文中宋" w:eastAsia="华文中宋"/>
                <w:color w:val="auto"/>
                <w:sz w:val="28"/>
              </w:rPr>
              <w:t>刊播版面</w:t>
            </w:r>
            <w:r>
              <w:rPr>
                <w:rFonts w:hint="eastAsia" w:ascii="华文中宋" w:hAnsi="华文中宋" w:eastAsia="华文中宋"/>
                <w:color w:val="auto"/>
                <w:spacing w:val="-12"/>
                <w:sz w:val="28"/>
              </w:rPr>
              <w:t>(</w:t>
            </w:r>
            <w:r>
              <w:rPr>
                <w:rFonts w:hint="eastAsia" w:ascii="华文中宋" w:hAnsi="华文中宋" w:eastAsia="华文中宋"/>
                <w:color w:val="auto"/>
                <w:spacing w:val="-12"/>
                <w:sz w:val="24"/>
              </w:rPr>
              <w:t>名称和版次)</w:t>
            </w:r>
          </w:p>
        </w:tc>
        <w:tc>
          <w:tcPr>
            <w:tcW w:w="272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2版</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lang w:val="en-US" w:eastAsia="zh-CN"/>
              </w:rPr>
              <w:t>刊播</w:t>
            </w:r>
            <w:r>
              <w:rPr>
                <w:rFonts w:hint="eastAsia" w:ascii="华文中宋" w:hAnsi="华文中宋" w:eastAsia="华文中宋"/>
                <w:color w:val="auto"/>
                <w:sz w:val="28"/>
              </w:rPr>
              <w:t>日期</w:t>
            </w:r>
          </w:p>
        </w:tc>
        <w:tc>
          <w:tcPr>
            <w:tcW w:w="3825" w:type="dxa"/>
            <w:gridSpan w:val="3"/>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default" w:ascii="宋体" w:hAnsi="宋体" w:eastAsia="宋体" w:cs="宋体"/>
                <w:color w:val="auto"/>
                <w:kern w:val="2"/>
                <w:sz w:val="24"/>
                <w:szCs w:val="24"/>
                <w:lang w:val="en-US" w:eastAsia="zh-CN" w:bidi="zh-CN"/>
              </w:rPr>
            </w:pPr>
            <w:r>
              <w:rPr>
                <w:rFonts w:hint="eastAsia" w:ascii="宋体" w:hAnsi="宋体" w:eastAsia="宋体" w:cs="宋体"/>
                <w:color w:val="auto"/>
                <w:kern w:val="2"/>
                <w:sz w:val="24"/>
                <w:szCs w:val="24"/>
                <w:lang w:val="en-US" w:eastAsia="zh-CN" w:bidi="zh-CN"/>
              </w:rPr>
              <w:t>2023年2月25日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7" w:hRule="exact"/>
          <w:jc w:val="center"/>
        </w:trPr>
        <w:tc>
          <w:tcPr>
            <w:tcW w:w="818" w:type="dxa"/>
            <w:noWrap w:val="0"/>
            <w:vAlign w:val="center"/>
          </w:tcPr>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采作</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编品</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过简</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程介</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w:t>
            </w:r>
          </w:p>
        </w:tc>
        <w:tc>
          <w:tcPr>
            <w:tcW w:w="8743"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exact"/>
              <w:ind w:firstLine="480" w:firstLineChars="200"/>
              <w:jc w:val="left"/>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同胞共气，家国所凭。2023年春节过后不久，随着新冠疫情放开，在乡村振兴的春风吹拂下，因历史积怨而中断往来多年的舟溪镇青曼苗寨和南皋乡乌高苗寨，两地村民对恢复正常往来的愿望越来越强烈，经过当地乡镇党委政府和青曼、乌高村“两委”的反复沟通协调下，2月18日，乌高村委会主任带领村民代表来到青曼村，并以苗家的传统仪式真</w:t>
            </w:r>
            <w:bookmarkStart w:id="0" w:name="_GoBack"/>
            <w:bookmarkEnd w:id="0"/>
            <w:r>
              <w:rPr>
                <w:rFonts w:hint="eastAsia" w:ascii="仿宋" w:hAnsi="仿宋" w:eastAsia="仿宋" w:cs="仿宋"/>
                <w:i w:val="0"/>
                <w:iCs w:val="0"/>
                <w:caps w:val="0"/>
                <w:color w:val="auto"/>
                <w:spacing w:val="0"/>
                <w:kern w:val="0"/>
                <w:sz w:val="24"/>
                <w:szCs w:val="24"/>
                <w:shd w:val="clear" w:fill="FFFFFF"/>
                <w:lang w:val="en-US" w:eastAsia="zh-CN" w:bidi="ar"/>
              </w:rPr>
              <w:t>诚地对祖上的错误行为正式赔礼致歉，两个苗寨的村民代表握手言和，消除了一起跨越300年的宗族旧怨，谱写了新时代民族团结进步和谐曲。</w:t>
            </w:r>
          </w:p>
          <w:p>
            <w:pPr>
              <w:spacing w:line="360" w:lineRule="exact"/>
              <w:ind w:firstLine="480" w:firstLineChars="200"/>
              <w:jc w:val="left"/>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记者以敏锐的新闻嗅觉，及时地“捕捉”到鲜见的新闻价值，扎实采访，认真撰写，精心打磨，终成此文。作品以平实的文字，娓娓叙述，阐释了在新时代的春风里，少数民族村寨上演的民族团结进步新故事。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150" w:right="452" w:firstLine="600" w:firstLineChars="200"/>
              <w:jc w:val="both"/>
              <w:textAlignment w:val="auto"/>
              <w:rPr>
                <w:rFonts w:hint="eastAsia" w:ascii="仿宋" w:hAnsi="仿宋" w:eastAsia="仿宋" w:cs="仿宋"/>
                <w:i w:val="0"/>
                <w:iCs w:val="0"/>
                <w:caps w:val="0"/>
                <w:color w:val="auto"/>
                <w:spacing w:val="0"/>
                <w:sz w:val="30"/>
                <w:szCs w:val="30"/>
                <w:shd w:val="clear" w:fill="FFFFFF"/>
              </w:rPr>
            </w:pPr>
          </w:p>
          <w:p>
            <w:pPr>
              <w:jc w:val="both"/>
              <w:rPr>
                <w:rFonts w:hint="eastAsia" w:eastAsia="仿宋"/>
                <w:color w:val="auto"/>
                <w:lang w:val="en-US" w:eastAsia="zh-CN"/>
              </w:rPr>
            </w:pPr>
          </w:p>
          <w:p>
            <w:pPr>
              <w:ind w:firstLine="420" w:firstLineChars="200"/>
              <w:jc w:val="both"/>
              <w:rPr>
                <w:rFonts w:hint="eastAsia"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8" w:hRule="exact"/>
          <w:jc w:val="center"/>
        </w:trPr>
        <w:tc>
          <w:tcPr>
            <w:tcW w:w="818" w:type="dxa"/>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社</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会</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效</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果</w:t>
            </w:r>
          </w:p>
        </w:tc>
        <w:tc>
          <w:tcPr>
            <w:tcW w:w="8743"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exact"/>
              <w:ind w:firstLine="480" w:firstLineChars="200"/>
              <w:jc w:val="left"/>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黔东南日报刊发及新媒体发布后，社会反响强烈，被多个新闻和网络平台转载、引用。该报道彰显黔东南州富有民族自治地方特色的“全国民族团结进步示范州”创建之路，反映了黔东南州奋力建设铸牢中华民族共同体意识模范州的生动实践，为贵州省建设民族团结进步繁荣发展示范区作出贡献，为全国民族团结进步事业创新发展探索了宝贵经验，有效促进各民族交往、交流、交融，体现时代风貌。</w:t>
            </w:r>
          </w:p>
          <w:p>
            <w:pPr>
              <w:ind w:firstLine="420" w:firstLineChars="200"/>
              <w:jc w:val="both"/>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0" w:hRule="exact"/>
          <w:jc w:val="center"/>
        </w:trPr>
        <w:tc>
          <w:tcPr>
            <w:tcW w:w="818" w:type="dxa"/>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 xml:space="preserve">  ︵</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初推</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评荐</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评理</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语由</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 xml:space="preserve">  ︶</w:t>
            </w:r>
          </w:p>
        </w:tc>
        <w:tc>
          <w:tcPr>
            <w:tcW w:w="8743" w:type="dxa"/>
            <w:gridSpan w:val="7"/>
            <w:tcBorders>
              <w:top w:val="single" w:color="auto" w:sz="4" w:space="0"/>
              <w:left w:val="single" w:color="auto" w:sz="4" w:space="0"/>
              <w:bottom w:val="single" w:color="auto" w:sz="4" w:space="0"/>
              <w:right w:val="single" w:color="auto" w:sz="4" w:space="0"/>
            </w:tcBorders>
            <w:noWrap w:val="0"/>
            <w:vAlign w:val="top"/>
          </w:tcPr>
          <w:p>
            <w:pPr>
              <w:spacing w:line="360" w:lineRule="exact"/>
              <w:ind w:firstLine="480" w:firstLineChars="200"/>
              <w:jc w:val="left"/>
              <w:rPr>
                <w:rFonts w:hint="eastAsia" w:ascii="仿宋" w:hAnsi="仿宋" w:eastAsia="仿宋" w:cs="仿宋"/>
                <w:i w:val="0"/>
                <w:iCs w:val="0"/>
                <w:caps w:val="0"/>
                <w:color w:val="auto"/>
                <w:spacing w:val="0"/>
                <w:kern w:val="0"/>
                <w:sz w:val="24"/>
                <w:szCs w:val="24"/>
                <w:shd w:val="clear" w:fill="FFFFFF"/>
                <w:lang w:val="en-US" w:eastAsia="zh-CN" w:bidi="ar"/>
              </w:rPr>
            </w:pPr>
            <w:r>
              <w:rPr>
                <w:rFonts w:hint="eastAsia" w:ascii="仿宋" w:hAnsi="仿宋" w:eastAsia="仿宋" w:cs="仿宋"/>
                <w:i w:val="0"/>
                <w:iCs w:val="0"/>
                <w:caps w:val="0"/>
                <w:color w:val="auto"/>
                <w:spacing w:val="0"/>
                <w:kern w:val="0"/>
                <w:sz w:val="24"/>
                <w:szCs w:val="24"/>
                <w:shd w:val="clear" w:fill="FFFFFF"/>
                <w:lang w:val="en-US" w:eastAsia="zh-CN" w:bidi="ar"/>
              </w:rPr>
              <w:t>该报道切口小，故事真，立意深，背景大。生动记录民族兄弟姐妹对和睦相处、和衷共济、和谐发展、团结奋进的热烈追求；从最基层出发，全景式展现民族团结进步事业大踏步前进、人民生活日益幸福的动人图景。作品表达自然、真诚，毫无说教，一点一滴据实而发，绝不造作，充分展现了采编人员“四力”功底。特此给予推荐。</w:t>
            </w:r>
          </w:p>
          <w:p>
            <w:pPr>
              <w:spacing w:line="360" w:lineRule="exact"/>
              <w:ind w:firstLine="420" w:firstLineChars="200"/>
              <w:jc w:val="left"/>
              <w:rPr>
                <w:rFonts w:hint="eastAsia" w:ascii="仿宋" w:hAnsi="仿宋" w:eastAsia="仿宋" w:cs="仿宋"/>
                <w:i w:val="0"/>
                <w:iCs w:val="0"/>
                <w:caps w:val="0"/>
                <w:color w:val="auto"/>
                <w:spacing w:val="0"/>
                <w:kern w:val="0"/>
                <w:sz w:val="21"/>
                <w:szCs w:val="21"/>
                <w:shd w:val="clear" w:fill="FFFFFF"/>
                <w:lang w:val="en-US" w:eastAsia="zh-CN" w:bidi="ar"/>
              </w:rPr>
            </w:pPr>
          </w:p>
          <w:p>
            <w:pPr>
              <w:spacing w:line="360" w:lineRule="exact"/>
              <w:ind w:firstLine="3864" w:firstLineChars="1400"/>
              <w:jc w:val="left"/>
              <w:rPr>
                <w:rFonts w:hint="eastAsia" w:ascii="华文中宋" w:hAnsi="华文中宋" w:eastAsia="华文中宋"/>
                <w:color w:val="auto"/>
                <w:spacing w:val="-2"/>
                <w:sz w:val="28"/>
              </w:rPr>
            </w:pPr>
            <w:r>
              <w:rPr>
                <w:rFonts w:hint="eastAsia" w:ascii="华文中宋" w:hAnsi="华文中宋" w:eastAsia="华文中宋"/>
                <w:color w:val="auto"/>
                <w:spacing w:val="-2"/>
                <w:sz w:val="28"/>
              </w:rPr>
              <w:t>签名：</w:t>
            </w:r>
          </w:p>
          <w:p>
            <w:pPr>
              <w:spacing w:line="360" w:lineRule="exact"/>
              <w:ind w:firstLine="5460" w:firstLineChars="1950"/>
              <w:rPr>
                <w:rFonts w:hint="eastAsia" w:ascii="华文中宋" w:hAnsi="华文中宋" w:eastAsia="华文中宋"/>
                <w:color w:val="auto"/>
                <w:sz w:val="28"/>
              </w:rPr>
            </w:pPr>
            <w:r>
              <w:rPr>
                <w:rFonts w:hint="eastAsia" w:ascii="华文中宋" w:hAnsi="华文中宋" w:eastAsia="华文中宋"/>
                <w:color w:val="auto"/>
                <w:sz w:val="28"/>
              </w:rPr>
              <w:t>（盖单位公章）</w:t>
            </w:r>
          </w:p>
          <w:p>
            <w:pPr>
              <w:spacing w:line="360" w:lineRule="exact"/>
              <w:rPr>
                <w:rFonts w:hint="eastAsia" w:ascii="仿宋_GB2312" w:eastAsia="仿宋_GB2312"/>
                <w:color w:val="auto"/>
                <w:sz w:val="28"/>
              </w:rPr>
            </w:pPr>
            <w:r>
              <w:rPr>
                <w:rFonts w:hint="eastAsia" w:ascii="仿宋_GB2312" w:eastAsia="仿宋_GB2312"/>
                <w:color w:val="auto"/>
                <w:sz w:val="28"/>
              </w:rPr>
              <w:t xml:space="preserve">                                      </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年 </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 </w:t>
            </w:r>
            <w:r>
              <w:rPr>
                <w:rFonts w:hint="eastAsia" w:ascii="华文中宋" w:hAnsi="华文中宋" w:eastAsia="华文中宋"/>
                <w:color w:val="auto"/>
                <w:sz w:val="28"/>
              </w:rPr>
              <w:t>月</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  </w:t>
            </w:r>
            <w:r>
              <w:rPr>
                <w:rFonts w:hint="eastAsia" w:ascii="华文中宋" w:hAnsi="华文中宋" w:eastAsia="华文中宋"/>
                <w:color w:val="auto"/>
                <w:sz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8" w:hRule="exact"/>
          <w:jc w:val="center"/>
        </w:trPr>
        <w:tc>
          <w:tcPr>
            <w:tcW w:w="1894"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pacing w:val="-12"/>
                <w:sz w:val="28"/>
                <w:szCs w:val="28"/>
              </w:rPr>
            </w:pPr>
            <w:r>
              <w:rPr>
                <w:rFonts w:hint="eastAsia" w:ascii="华文中宋" w:hAnsi="华文中宋" w:eastAsia="华文中宋"/>
                <w:color w:val="000000"/>
                <w:spacing w:val="-12"/>
                <w:sz w:val="28"/>
                <w:szCs w:val="28"/>
              </w:rPr>
              <w:t>联系人(作者)</w:t>
            </w:r>
          </w:p>
        </w:tc>
        <w:tc>
          <w:tcPr>
            <w:tcW w:w="384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z w:val="28"/>
                <w:lang w:eastAsia="zh-CN"/>
              </w:rPr>
            </w:pPr>
            <w:r>
              <w:rPr>
                <w:rFonts w:hint="eastAsia" w:ascii="华文中宋" w:hAnsi="华文中宋" w:eastAsia="华文中宋"/>
                <w:color w:val="000000"/>
                <w:sz w:val="28"/>
                <w:lang w:eastAsia="zh-CN"/>
              </w:rPr>
              <w:t>顾慧明</w:t>
            </w:r>
          </w:p>
        </w:tc>
        <w:tc>
          <w:tcPr>
            <w:tcW w:w="89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93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default"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15808554104</w:t>
            </w:r>
          </w:p>
        </w:tc>
      </w:tr>
    </w:tbl>
    <w:p>
      <w:pPr>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2YTU2OTk4ZDkyNTFhMjc1YTM3ODNkMjg5NmRiMWMifQ=="/>
  </w:docVars>
  <w:rsids>
    <w:rsidRoot w:val="4D7113D8"/>
    <w:rsid w:val="09523172"/>
    <w:rsid w:val="09643AAD"/>
    <w:rsid w:val="196071E6"/>
    <w:rsid w:val="3931169A"/>
    <w:rsid w:val="4388144A"/>
    <w:rsid w:val="4C484157"/>
    <w:rsid w:val="4D7113D8"/>
    <w:rsid w:val="58A00271"/>
    <w:rsid w:val="5FFF0F77"/>
    <w:rsid w:val="64621E3E"/>
    <w:rsid w:val="670E1A3D"/>
    <w:rsid w:val="68EB6933"/>
    <w:rsid w:val="6B9B7C53"/>
    <w:rsid w:val="78340796"/>
    <w:rsid w:val="78B6564F"/>
    <w:rsid w:val="7AC73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6">
    <w:name w:val="Table Paragraph"/>
    <w:basedOn w:val="1"/>
    <w:autoRedefine/>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2024-03-05T07:45:00Z</dcterms:created>
  <dc:creator>风语</dc:creator>
  <cp:lastModifiedBy>断了弦的吉他</cp:lastModifiedBy>
  <cp:lastPrinted>2024-03-26T06:41:04Z</cp:lastPrinted>
  <dcterms:modified xsi:type="dcterms:W3CDTF">2024-03-26T06:41:07Z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C558A2B020BE4FCE893C19B49130B793_11</vt:lpwstr>
  </property>
</Properties>
</file>